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51E0D" w14:textId="4E17B18A" w:rsidR="005640CC" w:rsidRDefault="005640CC" w:rsidP="00AF421E">
      <w:pPr>
        <w:spacing w:after="0" w:line="240" w:lineRule="auto"/>
        <w:jc w:val="center"/>
        <w:rPr>
          <w:b/>
          <w:bCs/>
          <w:sz w:val="32"/>
          <w:szCs w:val="32"/>
        </w:rPr>
      </w:pPr>
      <w:r>
        <w:rPr>
          <w:noProof/>
        </w:rPr>
        <w:drawing>
          <wp:anchor distT="0" distB="0" distL="114300" distR="114300" simplePos="0" relativeHeight="251658240" behindDoc="0" locked="0" layoutInCell="1" allowOverlap="1" wp14:anchorId="3773090D" wp14:editId="731C1ACC">
            <wp:simplePos x="0" y="0"/>
            <wp:positionH relativeFrom="margin">
              <wp:posOffset>-47625</wp:posOffset>
            </wp:positionH>
            <wp:positionV relativeFrom="paragraph">
              <wp:posOffset>0</wp:posOffset>
            </wp:positionV>
            <wp:extent cx="1228725" cy="12287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28725" cy="1228725"/>
                    </a:xfrm>
                    <a:prstGeom prst="rect">
                      <a:avLst/>
                    </a:prstGeom>
                  </pic:spPr>
                </pic:pic>
              </a:graphicData>
            </a:graphic>
            <wp14:sizeRelH relativeFrom="margin">
              <wp14:pctWidth>0</wp14:pctWidth>
            </wp14:sizeRelH>
            <wp14:sizeRelV relativeFrom="margin">
              <wp14:pctHeight>0</wp14:pctHeight>
            </wp14:sizeRelV>
          </wp:anchor>
        </w:drawing>
      </w:r>
    </w:p>
    <w:p w14:paraId="38E00DA5" w14:textId="77777777" w:rsidR="00030714" w:rsidRDefault="00030714" w:rsidP="00AF421E">
      <w:pPr>
        <w:spacing w:after="0" w:line="240" w:lineRule="auto"/>
        <w:jc w:val="center"/>
        <w:rPr>
          <w:b/>
          <w:bCs/>
          <w:sz w:val="40"/>
          <w:szCs w:val="40"/>
        </w:rPr>
      </w:pPr>
    </w:p>
    <w:p w14:paraId="3CC811CE" w14:textId="3555D52E" w:rsidR="00AF421E" w:rsidRPr="00AF421E" w:rsidRDefault="00AF421E" w:rsidP="00AF421E">
      <w:pPr>
        <w:spacing w:after="0" w:line="240" w:lineRule="auto"/>
        <w:jc w:val="center"/>
        <w:rPr>
          <w:sz w:val="40"/>
          <w:szCs w:val="40"/>
        </w:rPr>
      </w:pPr>
      <w:r w:rsidRPr="00AF421E">
        <w:rPr>
          <w:b/>
          <w:bCs/>
          <w:sz w:val="40"/>
          <w:szCs w:val="40"/>
        </w:rPr>
        <w:t>Case Submission Guidelines</w:t>
      </w:r>
    </w:p>
    <w:p w14:paraId="5D3D3193" w14:textId="77777777" w:rsidR="005640CC" w:rsidRDefault="005640CC" w:rsidP="00AF421E">
      <w:pPr>
        <w:spacing w:after="0" w:line="240" w:lineRule="auto"/>
      </w:pPr>
    </w:p>
    <w:p w14:paraId="19C15FC3" w14:textId="77777777" w:rsidR="005640CC" w:rsidRDefault="005640CC" w:rsidP="00AF421E">
      <w:pPr>
        <w:spacing w:after="0" w:line="240" w:lineRule="auto"/>
      </w:pPr>
    </w:p>
    <w:p w14:paraId="0FDC41E5" w14:textId="2B6A1903" w:rsidR="005640CC" w:rsidRDefault="007E062B" w:rsidP="00AF421E">
      <w:pPr>
        <w:spacing w:after="0" w:line="240" w:lineRule="auto"/>
      </w:pPr>
      <w:r>
        <w:rPr>
          <w:noProof/>
        </w:rPr>
        <w:drawing>
          <wp:inline distT="0" distB="0" distL="0" distR="0" wp14:anchorId="204E5F15" wp14:editId="79A27E0B">
            <wp:extent cx="4114800" cy="1398856"/>
            <wp:effectExtent l="0" t="0" r="0" b="0"/>
            <wp:docPr id="36769926"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69926" name="Picture 1" descr="A close-up of a logo&#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26583" cy="1402862"/>
                    </a:xfrm>
                    <a:prstGeom prst="rect">
                      <a:avLst/>
                    </a:prstGeom>
                    <a:noFill/>
                    <a:ln>
                      <a:noFill/>
                    </a:ln>
                  </pic:spPr>
                </pic:pic>
              </a:graphicData>
            </a:graphic>
          </wp:inline>
        </w:drawing>
      </w:r>
    </w:p>
    <w:p w14:paraId="18D5CB89" w14:textId="77777777" w:rsidR="00FF035A" w:rsidRDefault="00FF035A" w:rsidP="00AF421E">
      <w:pPr>
        <w:spacing w:after="0" w:line="240" w:lineRule="auto"/>
      </w:pPr>
    </w:p>
    <w:p w14:paraId="0D9A827F" w14:textId="77777777" w:rsidR="00FF035A" w:rsidRPr="00092B9A" w:rsidRDefault="00FF035A" w:rsidP="00FF035A">
      <w:pPr>
        <w:rPr>
          <w:b/>
          <w:bCs/>
          <w:sz w:val="32"/>
          <w:szCs w:val="32"/>
        </w:rPr>
      </w:pPr>
      <w:r w:rsidRPr="00092B9A">
        <w:rPr>
          <w:b/>
          <w:bCs/>
          <w:sz w:val="32"/>
          <w:szCs w:val="32"/>
        </w:rPr>
        <w:t>Important Dates</w:t>
      </w:r>
    </w:p>
    <w:tbl>
      <w:tblPr>
        <w:tblStyle w:val="TableGrid"/>
        <w:tblW w:w="0" w:type="auto"/>
        <w:tblLook w:val="04A0" w:firstRow="1" w:lastRow="0" w:firstColumn="1" w:lastColumn="0" w:noHBand="0" w:noVBand="1"/>
      </w:tblPr>
      <w:tblGrid>
        <w:gridCol w:w="5755"/>
        <w:gridCol w:w="4315"/>
      </w:tblGrid>
      <w:tr w:rsidR="00FF035A" w:rsidRPr="00220579" w14:paraId="49CC0043" w14:textId="77777777" w:rsidTr="00B32612">
        <w:tc>
          <w:tcPr>
            <w:tcW w:w="5755" w:type="dxa"/>
          </w:tcPr>
          <w:p w14:paraId="7B8CF2D6" w14:textId="023FC9F6" w:rsidR="00FF035A" w:rsidRPr="00220579" w:rsidRDefault="00FF035A" w:rsidP="00B32612">
            <w:pPr>
              <w:rPr>
                <w:b/>
                <w:bCs/>
                <w:sz w:val="24"/>
                <w:szCs w:val="24"/>
              </w:rPr>
            </w:pPr>
            <w:r>
              <w:rPr>
                <w:b/>
                <w:bCs/>
                <w:sz w:val="24"/>
                <w:szCs w:val="24"/>
              </w:rPr>
              <w:t>Case</w:t>
            </w:r>
            <w:r w:rsidRPr="00220579">
              <w:rPr>
                <w:b/>
                <w:bCs/>
                <w:sz w:val="24"/>
                <w:szCs w:val="24"/>
              </w:rPr>
              <w:t xml:space="preserve"> submission site opens</w:t>
            </w:r>
          </w:p>
        </w:tc>
        <w:tc>
          <w:tcPr>
            <w:tcW w:w="4315" w:type="dxa"/>
          </w:tcPr>
          <w:p w14:paraId="694CFE7D" w14:textId="72CF5E10" w:rsidR="00FF035A" w:rsidRPr="002417BA" w:rsidRDefault="00634E59" w:rsidP="00B32612">
            <w:pPr>
              <w:rPr>
                <w:b/>
                <w:bCs/>
                <w:sz w:val="24"/>
                <w:szCs w:val="24"/>
              </w:rPr>
            </w:pPr>
            <w:r w:rsidRPr="00634E59">
              <w:rPr>
                <w:b/>
                <w:bCs/>
                <w:sz w:val="24"/>
                <w:szCs w:val="24"/>
              </w:rPr>
              <w:t>Tuesday, November 18, 2025</w:t>
            </w:r>
          </w:p>
        </w:tc>
      </w:tr>
      <w:tr w:rsidR="00FF035A" w:rsidRPr="00220579" w14:paraId="1D754805" w14:textId="77777777" w:rsidTr="00B32612">
        <w:tc>
          <w:tcPr>
            <w:tcW w:w="5755" w:type="dxa"/>
          </w:tcPr>
          <w:p w14:paraId="3232F809" w14:textId="60AB099B" w:rsidR="00FF035A" w:rsidRPr="00220579" w:rsidRDefault="00FF035A" w:rsidP="00B32612">
            <w:pPr>
              <w:rPr>
                <w:b/>
                <w:bCs/>
                <w:sz w:val="24"/>
                <w:szCs w:val="24"/>
              </w:rPr>
            </w:pPr>
            <w:r>
              <w:rPr>
                <w:b/>
                <w:bCs/>
                <w:sz w:val="24"/>
                <w:szCs w:val="24"/>
              </w:rPr>
              <w:t>Case</w:t>
            </w:r>
            <w:r w:rsidRPr="00220579">
              <w:rPr>
                <w:b/>
                <w:bCs/>
                <w:sz w:val="24"/>
                <w:szCs w:val="24"/>
              </w:rPr>
              <w:t xml:space="preserve"> submission deadline</w:t>
            </w:r>
          </w:p>
        </w:tc>
        <w:tc>
          <w:tcPr>
            <w:tcW w:w="4315" w:type="dxa"/>
          </w:tcPr>
          <w:p w14:paraId="6862481C" w14:textId="6E2F9AB0" w:rsidR="00FF035A" w:rsidRPr="002417BA" w:rsidRDefault="00C23CFF" w:rsidP="00B32612">
            <w:pPr>
              <w:rPr>
                <w:b/>
                <w:bCs/>
                <w:sz w:val="24"/>
                <w:szCs w:val="24"/>
              </w:rPr>
            </w:pPr>
            <w:r w:rsidRPr="00C23CFF">
              <w:rPr>
                <w:b/>
                <w:bCs/>
                <w:sz w:val="24"/>
                <w:szCs w:val="24"/>
              </w:rPr>
              <w:t>Wednesday, January 7, 2026</w:t>
            </w:r>
          </w:p>
        </w:tc>
      </w:tr>
      <w:tr w:rsidR="00FF035A" w:rsidRPr="00220579" w14:paraId="6D2A3DCC" w14:textId="77777777" w:rsidTr="00B32612">
        <w:tc>
          <w:tcPr>
            <w:tcW w:w="5755" w:type="dxa"/>
          </w:tcPr>
          <w:p w14:paraId="3758A63C" w14:textId="72E16931" w:rsidR="00FF035A" w:rsidRPr="00220579" w:rsidRDefault="00FF035A" w:rsidP="00B32612">
            <w:pPr>
              <w:rPr>
                <w:b/>
                <w:bCs/>
                <w:sz w:val="24"/>
                <w:szCs w:val="24"/>
              </w:rPr>
            </w:pPr>
            <w:r>
              <w:rPr>
                <w:b/>
                <w:bCs/>
                <w:sz w:val="24"/>
                <w:szCs w:val="24"/>
              </w:rPr>
              <w:t>Case</w:t>
            </w:r>
            <w:r w:rsidRPr="00220579">
              <w:rPr>
                <w:b/>
                <w:bCs/>
                <w:sz w:val="24"/>
                <w:szCs w:val="24"/>
              </w:rPr>
              <w:t xml:space="preserve"> decision date</w:t>
            </w:r>
          </w:p>
        </w:tc>
        <w:tc>
          <w:tcPr>
            <w:tcW w:w="4315" w:type="dxa"/>
          </w:tcPr>
          <w:p w14:paraId="5EEE0B09" w14:textId="16070EC6" w:rsidR="00FF035A" w:rsidRPr="002417BA" w:rsidRDefault="00C84C49" w:rsidP="00B32612">
            <w:pPr>
              <w:rPr>
                <w:b/>
                <w:bCs/>
                <w:sz w:val="24"/>
                <w:szCs w:val="24"/>
              </w:rPr>
            </w:pPr>
            <w:r>
              <w:rPr>
                <w:b/>
                <w:bCs/>
                <w:sz w:val="24"/>
                <w:szCs w:val="24"/>
              </w:rPr>
              <w:t>Tuesday, February 10, 2026</w:t>
            </w:r>
          </w:p>
        </w:tc>
      </w:tr>
      <w:tr w:rsidR="00FF035A" w:rsidRPr="00147977" w14:paraId="0EC0B586" w14:textId="77777777" w:rsidTr="00B32612">
        <w:tc>
          <w:tcPr>
            <w:tcW w:w="5755" w:type="dxa"/>
          </w:tcPr>
          <w:p w14:paraId="089199AC" w14:textId="0001DDA5" w:rsidR="00FF035A" w:rsidRPr="00027AFD" w:rsidRDefault="00FF035A" w:rsidP="00B32612">
            <w:pPr>
              <w:rPr>
                <w:b/>
                <w:bCs/>
                <w:sz w:val="24"/>
                <w:szCs w:val="24"/>
              </w:rPr>
            </w:pPr>
            <w:r w:rsidRPr="00027AFD">
              <w:rPr>
                <w:b/>
                <w:bCs/>
                <w:sz w:val="24"/>
                <w:szCs w:val="24"/>
              </w:rPr>
              <w:t>Case withdrawal deadline</w:t>
            </w:r>
          </w:p>
        </w:tc>
        <w:tc>
          <w:tcPr>
            <w:tcW w:w="4315" w:type="dxa"/>
          </w:tcPr>
          <w:p w14:paraId="54C117F3" w14:textId="008DCD42" w:rsidR="00FF035A" w:rsidRPr="00147977" w:rsidRDefault="00027AFD" w:rsidP="00B32612">
            <w:pPr>
              <w:rPr>
                <w:b/>
                <w:bCs/>
                <w:sz w:val="24"/>
                <w:szCs w:val="24"/>
              </w:rPr>
            </w:pPr>
            <w:r w:rsidRPr="00027AFD">
              <w:rPr>
                <w:b/>
                <w:bCs/>
                <w:sz w:val="24"/>
                <w:szCs w:val="24"/>
              </w:rPr>
              <w:t>Tuesday, February 24, 2026</w:t>
            </w:r>
          </w:p>
        </w:tc>
      </w:tr>
    </w:tbl>
    <w:p w14:paraId="5859229A" w14:textId="77777777" w:rsidR="00FF035A" w:rsidRPr="00CA1288" w:rsidRDefault="00FF035A" w:rsidP="00FF035A">
      <w:pPr>
        <w:rPr>
          <w:b/>
          <w:bCs/>
          <w:sz w:val="28"/>
          <w:szCs w:val="28"/>
        </w:rPr>
      </w:pPr>
    </w:p>
    <w:p w14:paraId="37068ADB" w14:textId="77777777" w:rsidR="00746CBD" w:rsidRPr="00092B9A" w:rsidRDefault="00746CBD" w:rsidP="00746CBD">
      <w:pPr>
        <w:rPr>
          <w:b/>
          <w:bCs/>
          <w:sz w:val="32"/>
          <w:szCs w:val="32"/>
        </w:rPr>
      </w:pPr>
      <w:r>
        <w:rPr>
          <w:b/>
          <w:bCs/>
          <w:sz w:val="32"/>
          <w:szCs w:val="32"/>
        </w:rPr>
        <w:t>Formatting</w:t>
      </w:r>
    </w:p>
    <w:p w14:paraId="1109D3FF" w14:textId="1C089A05" w:rsidR="00746CBD" w:rsidRDefault="003E4F6E" w:rsidP="00746CBD">
      <w:pPr>
        <w:pStyle w:val="ListParagraph"/>
        <w:numPr>
          <w:ilvl w:val="0"/>
          <w:numId w:val="5"/>
        </w:numPr>
        <w:spacing w:after="0" w:line="240" w:lineRule="auto"/>
      </w:pPr>
      <w:r>
        <w:rPr>
          <w:b/>
          <w:bCs/>
        </w:rPr>
        <w:t>Word</w:t>
      </w:r>
      <w:r w:rsidR="00746CBD" w:rsidRPr="717D47A5">
        <w:rPr>
          <w:b/>
          <w:bCs/>
        </w:rPr>
        <w:t xml:space="preserve"> limit</w:t>
      </w:r>
      <w:r w:rsidR="00746CBD">
        <w:t xml:space="preserve">: </w:t>
      </w:r>
      <w:r>
        <w:t xml:space="preserve">There is a </w:t>
      </w:r>
      <w:r w:rsidR="00746CBD">
        <w:t>limit</w:t>
      </w:r>
      <w:r>
        <w:t xml:space="preserve"> of </w:t>
      </w:r>
      <w:r w:rsidR="00746CBD">
        <w:t xml:space="preserve">500 </w:t>
      </w:r>
      <w:r>
        <w:t>words</w:t>
      </w:r>
      <w:r w:rsidR="00746CBD">
        <w:t>,</w:t>
      </w:r>
      <w:r>
        <w:t xml:space="preserve"> including section headers, but</w:t>
      </w:r>
      <w:r w:rsidR="00746CBD">
        <w:t xml:space="preserve"> not including spaces</w:t>
      </w:r>
      <w:r>
        <w:t>.</w:t>
      </w:r>
    </w:p>
    <w:p w14:paraId="24139D27" w14:textId="3E71DACA" w:rsidR="00746CBD" w:rsidRPr="00746CBD" w:rsidRDefault="00746CBD" w:rsidP="00746CBD">
      <w:pPr>
        <w:pStyle w:val="ListParagraph"/>
        <w:numPr>
          <w:ilvl w:val="0"/>
          <w:numId w:val="5"/>
        </w:numPr>
      </w:pPr>
      <w:r w:rsidRPr="00746CBD">
        <w:rPr>
          <w:b/>
          <w:bCs/>
        </w:rPr>
        <w:t>Format</w:t>
      </w:r>
      <w:r>
        <w:t>: Cases must contain the following</w:t>
      </w:r>
      <w:r w:rsidRPr="00694440">
        <w:t xml:space="preserve"> </w:t>
      </w:r>
      <w:r>
        <w:t xml:space="preserve">4 </w:t>
      </w:r>
      <w:r w:rsidRPr="00694440">
        <w:t>sections:</w:t>
      </w:r>
      <w:r>
        <w:t xml:space="preserve"> </w:t>
      </w:r>
      <w:r w:rsidRPr="00746CBD">
        <w:t xml:space="preserve">Title, Introduction, Clinical Case, and Discussion. </w:t>
      </w:r>
    </w:p>
    <w:p w14:paraId="18798657" w14:textId="1F80B457" w:rsidR="00746CBD" w:rsidRPr="00694440" w:rsidRDefault="00746CBD" w:rsidP="00746CBD">
      <w:pPr>
        <w:pStyle w:val="ListParagraph"/>
        <w:numPr>
          <w:ilvl w:val="0"/>
          <w:numId w:val="5"/>
        </w:numPr>
        <w:spacing w:after="0" w:line="240" w:lineRule="auto"/>
      </w:pPr>
      <w:r w:rsidRPr="00746CBD">
        <w:rPr>
          <w:b/>
          <w:bCs/>
        </w:rPr>
        <w:t>Authorship</w:t>
      </w:r>
      <w:r>
        <w:t xml:space="preserve">: There is no limit on the number of authors; however, all authors should satisfy the </w:t>
      </w:r>
      <w:hyperlink r:id="rId10" w:anchor="two">
        <w:r w:rsidRPr="1B593EA1">
          <w:rPr>
            <w:rStyle w:val="Hyperlink"/>
          </w:rPr>
          <w:t>ICMJE authorship criteria</w:t>
        </w:r>
      </w:hyperlink>
      <w:r>
        <w:t xml:space="preserve">. </w:t>
      </w:r>
      <w:r w:rsidRPr="00614230">
        <w:t xml:space="preserve">Group names are not permitted, </w:t>
      </w:r>
      <w:r>
        <w:t xml:space="preserve">SCAI </w:t>
      </w:r>
      <w:r w:rsidRPr="00614230">
        <w:t>only allows individual names.</w:t>
      </w:r>
    </w:p>
    <w:p w14:paraId="605A744C" w14:textId="6B22F2C5" w:rsidR="00746CBD" w:rsidRDefault="00746CBD" w:rsidP="00746CBD">
      <w:pPr>
        <w:pStyle w:val="ListParagraph"/>
        <w:numPr>
          <w:ilvl w:val="0"/>
          <w:numId w:val="5"/>
        </w:numPr>
        <w:spacing w:after="0" w:line="240" w:lineRule="auto"/>
      </w:pPr>
      <w:r w:rsidRPr="009F5CEC">
        <w:rPr>
          <w:b/>
          <w:bCs/>
        </w:rPr>
        <w:t>Figures/Tables:</w:t>
      </w:r>
      <w:r>
        <w:t xml:space="preserve"> Images are not allowed in the case report; </w:t>
      </w:r>
      <w:proofErr w:type="gramStart"/>
      <w:r>
        <w:t>however</w:t>
      </w:r>
      <w:proofErr w:type="gramEnd"/>
      <w:r>
        <w:t xml:space="preserve"> Case submissions also require a PPT file. The PPT can contain images, videos and text. </w:t>
      </w:r>
    </w:p>
    <w:p w14:paraId="27E1FABA" w14:textId="77777777" w:rsidR="00746CBD" w:rsidRDefault="00746CBD" w:rsidP="00AF421E">
      <w:pPr>
        <w:spacing w:after="0" w:line="240" w:lineRule="auto"/>
      </w:pPr>
    </w:p>
    <w:p w14:paraId="48ED8269" w14:textId="77777777" w:rsidR="00F70135" w:rsidRPr="009F5CEC" w:rsidRDefault="00F70135" w:rsidP="00F70135">
      <w:pPr>
        <w:rPr>
          <w:b/>
          <w:bCs/>
          <w:sz w:val="32"/>
          <w:szCs w:val="32"/>
        </w:rPr>
      </w:pPr>
      <w:r w:rsidRPr="009F5CEC">
        <w:rPr>
          <w:b/>
          <w:bCs/>
          <w:sz w:val="32"/>
          <w:szCs w:val="32"/>
        </w:rPr>
        <w:t>Policies</w:t>
      </w:r>
    </w:p>
    <w:p w14:paraId="3F9FC089" w14:textId="2E8357EF" w:rsidR="00F70135" w:rsidRDefault="00F70135" w:rsidP="00F70135">
      <w:pPr>
        <w:pStyle w:val="ListParagraph"/>
        <w:numPr>
          <w:ilvl w:val="0"/>
          <w:numId w:val="6"/>
        </w:numPr>
        <w:spacing w:after="0" w:line="240" w:lineRule="auto"/>
      </w:pPr>
      <w:r w:rsidRPr="006E416A">
        <w:t xml:space="preserve">Where authors use generative artificial intelligence (AI) and AI-assisted technologies in the writing process, authors should use these technologies only to improve readability and language. </w:t>
      </w:r>
      <w:r w:rsidRPr="00EF435C">
        <w:t>The technology should be applied with human oversight and control, and authors should carefully review and edit the result, as AI can generate authoritative-sounding output that can be incorrect, incomplete, or biased</w:t>
      </w:r>
      <w:r>
        <w:t xml:space="preserve">. </w:t>
      </w:r>
    </w:p>
    <w:p w14:paraId="6EAA2534" w14:textId="77777777" w:rsidR="00F70135" w:rsidRDefault="00F70135" w:rsidP="00F70135">
      <w:pPr>
        <w:pStyle w:val="ListParagraph"/>
        <w:numPr>
          <w:ilvl w:val="0"/>
          <w:numId w:val="6"/>
        </w:numPr>
        <w:spacing w:after="0" w:line="240" w:lineRule="auto"/>
      </w:pPr>
      <w:r>
        <w:t xml:space="preserve">The SCAI Program Committee endorses the </w:t>
      </w:r>
      <w:hyperlink r:id="rId11" w:history="1">
        <w:r>
          <w:t xml:space="preserve">position of the American Association for the Advancement for Science </w:t>
        </w:r>
        <w:r w:rsidRPr="717D47A5">
          <w:rPr>
            <w:rStyle w:val="Hyperlink"/>
          </w:rPr>
          <w:t>(AAAS)</w:t>
        </w:r>
      </w:hyperlink>
      <w:r>
        <w:t xml:space="preserve"> in requiring assurances of the responsible use of animals in research as well as the ethical principles outlined in the </w:t>
      </w:r>
      <w:hyperlink r:id="rId12">
        <w:r w:rsidRPr="717D47A5">
          <w:rPr>
            <w:rStyle w:val="Hyperlink"/>
          </w:rPr>
          <w:t>World Medical Association (WMA) Declaration of Helsinki</w:t>
        </w:r>
      </w:hyperlink>
      <w:r>
        <w:t xml:space="preserve"> for human medical research. All submissions for consideration must follow these guidelines.</w:t>
      </w:r>
    </w:p>
    <w:p w14:paraId="0BAA8D20" w14:textId="6BCF0A97" w:rsidR="00F70135" w:rsidRDefault="00D01961" w:rsidP="00F70135">
      <w:pPr>
        <w:pStyle w:val="ListParagraph"/>
        <w:numPr>
          <w:ilvl w:val="0"/>
          <w:numId w:val="6"/>
        </w:numPr>
        <w:spacing w:after="0" w:line="240" w:lineRule="auto"/>
      </w:pPr>
      <w:r>
        <w:t>Case</w:t>
      </w:r>
      <w:r w:rsidR="00F70135" w:rsidRPr="001707DB">
        <w:t xml:space="preserve"> submissions must fit into one of the following categories:</w:t>
      </w:r>
    </w:p>
    <w:p w14:paraId="28F4B88D" w14:textId="77777777" w:rsidR="00F70135" w:rsidRDefault="00F70135" w:rsidP="00F70135">
      <w:pPr>
        <w:pStyle w:val="ListParagraph"/>
        <w:numPr>
          <w:ilvl w:val="1"/>
          <w:numId w:val="6"/>
        </w:numPr>
        <w:spacing w:after="0" w:line="240" w:lineRule="auto"/>
      </w:pPr>
      <w:r>
        <w:t>Acute Coronary Syndromes &amp; MI</w:t>
      </w:r>
    </w:p>
    <w:p w14:paraId="4F58CE57" w14:textId="77777777" w:rsidR="00F70135" w:rsidRDefault="00F70135" w:rsidP="00F70135">
      <w:pPr>
        <w:pStyle w:val="ListParagraph"/>
        <w:numPr>
          <w:ilvl w:val="1"/>
          <w:numId w:val="6"/>
        </w:numPr>
        <w:spacing w:after="0" w:line="240" w:lineRule="auto"/>
      </w:pPr>
      <w:r>
        <w:t>Adut Congenital</w:t>
      </w:r>
    </w:p>
    <w:p w14:paraId="1CF0C6A2" w14:textId="77777777" w:rsidR="00F70135" w:rsidRDefault="00F70135" w:rsidP="00F70135">
      <w:pPr>
        <w:pStyle w:val="ListParagraph"/>
        <w:numPr>
          <w:ilvl w:val="1"/>
          <w:numId w:val="6"/>
        </w:numPr>
        <w:spacing w:after="0" w:line="240" w:lineRule="auto"/>
      </w:pPr>
      <w:r>
        <w:t xml:space="preserve">Aortic Valve Interventions </w:t>
      </w:r>
    </w:p>
    <w:p w14:paraId="5C010553" w14:textId="77777777" w:rsidR="00F70135" w:rsidRDefault="00F70135" w:rsidP="00F70135">
      <w:pPr>
        <w:pStyle w:val="ListParagraph"/>
        <w:numPr>
          <w:ilvl w:val="1"/>
          <w:numId w:val="6"/>
        </w:numPr>
        <w:spacing w:after="0" w:line="240" w:lineRule="auto"/>
      </w:pPr>
      <w:r>
        <w:lastRenderedPageBreak/>
        <w:t>Cardio-Oncology</w:t>
      </w:r>
    </w:p>
    <w:p w14:paraId="2E361E24" w14:textId="77777777" w:rsidR="00F70135" w:rsidRDefault="00F70135" w:rsidP="00F70135">
      <w:pPr>
        <w:pStyle w:val="ListParagraph"/>
        <w:numPr>
          <w:ilvl w:val="1"/>
          <w:numId w:val="6"/>
        </w:numPr>
        <w:spacing w:after="0" w:line="240" w:lineRule="auto"/>
      </w:pPr>
      <w:r>
        <w:t>Cardiogenic Shock</w:t>
      </w:r>
    </w:p>
    <w:p w14:paraId="6D2F0E83" w14:textId="77777777" w:rsidR="00F70135" w:rsidRDefault="00F70135" w:rsidP="00F70135">
      <w:pPr>
        <w:pStyle w:val="ListParagraph"/>
        <w:numPr>
          <w:ilvl w:val="1"/>
          <w:numId w:val="6"/>
        </w:numPr>
        <w:spacing w:after="0" w:line="240" w:lineRule="auto"/>
      </w:pPr>
      <w:r>
        <w:t>Complex PCI &amp; Restenosis (Excluding Left Main &amp; Multi-Vessel Intervention)</w:t>
      </w:r>
    </w:p>
    <w:p w14:paraId="414CA3B6" w14:textId="77777777" w:rsidR="00F70135" w:rsidRDefault="00F70135" w:rsidP="00F70135">
      <w:pPr>
        <w:pStyle w:val="ListParagraph"/>
        <w:numPr>
          <w:ilvl w:val="1"/>
          <w:numId w:val="6"/>
        </w:numPr>
        <w:spacing w:after="0" w:line="240" w:lineRule="auto"/>
      </w:pPr>
      <w:r>
        <w:t>Imaging: CT, MR, and Non-Invasive Imaging</w:t>
      </w:r>
    </w:p>
    <w:p w14:paraId="34315B27" w14:textId="77777777" w:rsidR="00F70135" w:rsidRDefault="00F70135" w:rsidP="00F70135">
      <w:pPr>
        <w:pStyle w:val="ListParagraph"/>
        <w:numPr>
          <w:ilvl w:val="1"/>
          <w:numId w:val="6"/>
        </w:numPr>
        <w:spacing w:after="0" w:line="240" w:lineRule="auto"/>
      </w:pPr>
      <w:r>
        <w:t>Intervention for Stable Ischemic Heart Disease</w:t>
      </w:r>
    </w:p>
    <w:p w14:paraId="6482BF6E" w14:textId="77777777" w:rsidR="00F70135" w:rsidRDefault="00F70135" w:rsidP="00F70135">
      <w:pPr>
        <w:pStyle w:val="ListParagraph"/>
        <w:numPr>
          <w:ilvl w:val="1"/>
          <w:numId w:val="6"/>
        </w:numPr>
        <w:spacing w:after="0" w:line="240" w:lineRule="auto"/>
      </w:pPr>
      <w:r>
        <w:t>Interventional Heart Failure (Excluding Cardiogenic Shock) and Post-Transplant Care</w:t>
      </w:r>
    </w:p>
    <w:p w14:paraId="06F6DE1E" w14:textId="77777777" w:rsidR="00F70135" w:rsidRDefault="00F70135" w:rsidP="00F70135">
      <w:pPr>
        <w:pStyle w:val="ListParagraph"/>
        <w:numPr>
          <w:ilvl w:val="1"/>
          <w:numId w:val="6"/>
        </w:numPr>
        <w:spacing w:after="0" w:line="240" w:lineRule="auto"/>
      </w:pPr>
      <w:r>
        <w:t xml:space="preserve">Interventions for </w:t>
      </w:r>
      <w:proofErr w:type="spellStart"/>
      <w:r>
        <w:t>Afib</w:t>
      </w:r>
      <w:proofErr w:type="spellEnd"/>
    </w:p>
    <w:p w14:paraId="47B3E1BD" w14:textId="77777777" w:rsidR="00F70135" w:rsidRDefault="00F70135" w:rsidP="00F70135">
      <w:pPr>
        <w:pStyle w:val="ListParagraph"/>
        <w:numPr>
          <w:ilvl w:val="1"/>
          <w:numId w:val="6"/>
        </w:numPr>
        <w:spacing w:after="0" w:line="240" w:lineRule="auto"/>
      </w:pPr>
      <w:r>
        <w:t xml:space="preserve">Intravascular Imaging (IVUS / OCT / NIR / Other) and Physiology (FFR / </w:t>
      </w:r>
      <w:proofErr w:type="spellStart"/>
      <w:r>
        <w:t>iFR</w:t>
      </w:r>
      <w:proofErr w:type="spellEnd"/>
      <w:r>
        <w:t xml:space="preserve"> / MR / Other)</w:t>
      </w:r>
    </w:p>
    <w:p w14:paraId="5AE7FC61" w14:textId="77777777" w:rsidR="00F70135" w:rsidRDefault="00F70135" w:rsidP="00F70135">
      <w:pPr>
        <w:pStyle w:val="ListParagraph"/>
        <w:numPr>
          <w:ilvl w:val="1"/>
          <w:numId w:val="6"/>
        </w:numPr>
        <w:spacing w:after="0" w:line="240" w:lineRule="auto"/>
      </w:pPr>
      <w:r>
        <w:t>Left Main &amp; Multi-Vessel Intervention</w:t>
      </w:r>
    </w:p>
    <w:p w14:paraId="10CA0496" w14:textId="77777777" w:rsidR="00F70135" w:rsidRDefault="00F70135" w:rsidP="00F70135">
      <w:pPr>
        <w:pStyle w:val="ListParagraph"/>
        <w:numPr>
          <w:ilvl w:val="1"/>
          <w:numId w:val="6"/>
        </w:numPr>
        <w:spacing w:after="0" w:line="240" w:lineRule="auto"/>
      </w:pPr>
      <w:r>
        <w:t>Mechanical Circulatory Support (MCS)</w:t>
      </w:r>
    </w:p>
    <w:p w14:paraId="311E9ED2" w14:textId="77777777" w:rsidR="00F70135" w:rsidRDefault="00F70135" w:rsidP="00F70135">
      <w:pPr>
        <w:pStyle w:val="ListParagraph"/>
        <w:numPr>
          <w:ilvl w:val="1"/>
          <w:numId w:val="6"/>
        </w:numPr>
        <w:spacing w:after="0" w:line="240" w:lineRule="auto"/>
      </w:pPr>
      <w:r>
        <w:t>Miscellaneous</w:t>
      </w:r>
    </w:p>
    <w:p w14:paraId="7EBFBE32" w14:textId="77777777" w:rsidR="00F70135" w:rsidRDefault="00F70135" w:rsidP="00F70135">
      <w:pPr>
        <w:pStyle w:val="ListParagraph"/>
        <w:numPr>
          <w:ilvl w:val="1"/>
          <w:numId w:val="6"/>
        </w:numPr>
        <w:spacing w:after="0" w:line="240" w:lineRule="auto"/>
      </w:pPr>
      <w:r>
        <w:t xml:space="preserve">Other Endovascular Interventions (Including AAA, Carotid, DVT, Renal Denervation and Venous Disease) </w:t>
      </w:r>
    </w:p>
    <w:p w14:paraId="1CF07130" w14:textId="77777777" w:rsidR="00F70135" w:rsidRDefault="00F70135" w:rsidP="00F70135">
      <w:pPr>
        <w:pStyle w:val="ListParagraph"/>
        <w:numPr>
          <w:ilvl w:val="1"/>
          <w:numId w:val="6"/>
        </w:numPr>
        <w:spacing w:after="0" w:line="240" w:lineRule="auto"/>
      </w:pPr>
      <w:r>
        <w:t>PAD &amp; CLI</w:t>
      </w:r>
    </w:p>
    <w:p w14:paraId="4F32FD01" w14:textId="77777777" w:rsidR="00F70135" w:rsidRDefault="00F70135" w:rsidP="00F70135">
      <w:pPr>
        <w:pStyle w:val="ListParagraph"/>
        <w:numPr>
          <w:ilvl w:val="1"/>
          <w:numId w:val="6"/>
        </w:numPr>
        <w:spacing w:after="0" w:line="240" w:lineRule="auto"/>
      </w:pPr>
      <w:r>
        <w:t>Pediatric</w:t>
      </w:r>
    </w:p>
    <w:p w14:paraId="7220DC89" w14:textId="77777777" w:rsidR="00F70135" w:rsidRDefault="00F70135" w:rsidP="00F70135">
      <w:pPr>
        <w:pStyle w:val="ListParagraph"/>
        <w:numPr>
          <w:ilvl w:val="1"/>
          <w:numId w:val="6"/>
        </w:numPr>
        <w:spacing w:after="0" w:line="240" w:lineRule="auto"/>
      </w:pPr>
      <w:r>
        <w:t>Pharmacotherapy</w:t>
      </w:r>
    </w:p>
    <w:p w14:paraId="71B9776A" w14:textId="77777777" w:rsidR="00F70135" w:rsidRDefault="00F70135" w:rsidP="00F70135">
      <w:pPr>
        <w:pStyle w:val="ListParagraph"/>
        <w:numPr>
          <w:ilvl w:val="1"/>
          <w:numId w:val="6"/>
        </w:numPr>
        <w:spacing w:after="0" w:line="240" w:lineRule="auto"/>
      </w:pPr>
      <w:r>
        <w:t>Pulmonary Artery Interventions (Including PE &amp; PH)</w:t>
      </w:r>
    </w:p>
    <w:p w14:paraId="73272341" w14:textId="77777777" w:rsidR="00F70135" w:rsidRDefault="00F70135" w:rsidP="00F70135">
      <w:pPr>
        <w:pStyle w:val="ListParagraph"/>
        <w:numPr>
          <w:ilvl w:val="1"/>
          <w:numId w:val="6"/>
        </w:numPr>
        <w:spacing w:after="0" w:line="240" w:lineRule="auto"/>
      </w:pPr>
      <w:r>
        <w:t>Quality Improvement</w:t>
      </w:r>
    </w:p>
    <w:p w14:paraId="3F80574B" w14:textId="77777777" w:rsidR="00F70135" w:rsidRDefault="00F70135" w:rsidP="00F70135">
      <w:pPr>
        <w:pStyle w:val="ListParagraph"/>
        <w:numPr>
          <w:ilvl w:val="1"/>
          <w:numId w:val="6"/>
        </w:numPr>
        <w:spacing w:after="0" w:line="240" w:lineRule="auto"/>
      </w:pPr>
      <w:r>
        <w:t>Structural Heart Disease (Excluding Valvular Interventions)</w:t>
      </w:r>
    </w:p>
    <w:p w14:paraId="39A1BAA1" w14:textId="77777777" w:rsidR="00F70135" w:rsidRDefault="00F70135" w:rsidP="00F70135">
      <w:pPr>
        <w:pStyle w:val="ListParagraph"/>
        <w:numPr>
          <w:ilvl w:val="1"/>
          <w:numId w:val="6"/>
        </w:numPr>
        <w:spacing w:after="0" w:line="240" w:lineRule="auto"/>
      </w:pPr>
      <w:r>
        <w:t>Thrombectomy and Vulnerable Plaque</w:t>
      </w:r>
    </w:p>
    <w:p w14:paraId="0C8178ED" w14:textId="77777777" w:rsidR="00F70135" w:rsidRDefault="00F70135" w:rsidP="00F70135">
      <w:pPr>
        <w:pStyle w:val="ListParagraph"/>
        <w:numPr>
          <w:ilvl w:val="1"/>
          <w:numId w:val="6"/>
        </w:numPr>
        <w:spacing w:after="0" w:line="240" w:lineRule="auto"/>
      </w:pPr>
      <w:r>
        <w:t>Valve Interventions (Excluding Aortic Valve-Interventions)</w:t>
      </w:r>
    </w:p>
    <w:p w14:paraId="5E08C5AE" w14:textId="77777777" w:rsidR="00F70135" w:rsidRDefault="00F70135" w:rsidP="00F70135">
      <w:pPr>
        <w:pStyle w:val="ListParagraph"/>
        <w:numPr>
          <w:ilvl w:val="1"/>
          <w:numId w:val="6"/>
        </w:numPr>
        <w:spacing w:after="0" w:line="240" w:lineRule="auto"/>
      </w:pPr>
      <w:r>
        <w:t>Vascular Access and Arterial Closure Devices</w:t>
      </w:r>
    </w:p>
    <w:p w14:paraId="4548CD83" w14:textId="77777777" w:rsidR="00AF421E" w:rsidRDefault="00AF421E" w:rsidP="00AF421E">
      <w:pPr>
        <w:spacing w:after="0" w:line="240" w:lineRule="auto"/>
      </w:pPr>
    </w:p>
    <w:p w14:paraId="23407579" w14:textId="77777777" w:rsidR="007607E6" w:rsidRPr="004070D5" w:rsidRDefault="007607E6" w:rsidP="007607E6">
      <w:pPr>
        <w:spacing w:after="0" w:line="240" w:lineRule="auto"/>
        <w:rPr>
          <w:b/>
          <w:bCs/>
          <w:sz w:val="32"/>
          <w:szCs w:val="32"/>
        </w:rPr>
      </w:pPr>
      <w:r>
        <w:rPr>
          <w:b/>
          <w:bCs/>
          <w:sz w:val="32"/>
          <w:szCs w:val="32"/>
        </w:rPr>
        <w:t>Submission, Revision, and Withdrawal</w:t>
      </w:r>
    </w:p>
    <w:p w14:paraId="7AE7759A" w14:textId="6142B6B1" w:rsidR="007607E6" w:rsidRDefault="007607E6" w:rsidP="007607E6">
      <w:pPr>
        <w:pStyle w:val="ListParagraph"/>
        <w:numPr>
          <w:ilvl w:val="0"/>
          <w:numId w:val="9"/>
        </w:numPr>
        <w:spacing w:after="0" w:line="240" w:lineRule="auto"/>
      </w:pPr>
      <w:r>
        <w:t xml:space="preserve">All case submissions must be completed by the case submission deadline. </w:t>
      </w:r>
    </w:p>
    <w:p w14:paraId="1C977C33" w14:textId="05774FF2" w:rsidR="007607E6" w:rsidRDefault="007607E6" w:rsidP="007607E6">
      <w:pPr>
        <w:pStyle w:val="ListParagraph"/>
        <w:numPr>
          <w:ilvl w:val="0"/>
          <w:numId w:val="9"/>
        </w:numPr>
        <w:spacing w:after="0" w:line="240" w:lineRule="auto"/>
      </w:pPr>
      <w:r>
        <w:t xml:space="preserve">Once a case is submitted, SCAI will communicate only with the designated presenting author. </w:t>
      </w:r>
    </w:p>
    <w:p w14:paraId="7A846FB0" w14:textId="08D45B5F" w:rsidR="007607E6" w:rsidRPr="00694440" w:rsidRDefault="007607E6" w:rsidP="007607E6">
      <w:pPr>
        <w:pStyle w:val="ListParagraph"/>
        <w:numPr>
          <w:ilvl w:val="0"/>
          <w:numId w:val="9"/>
        </w:numPr>
        <w:spacing w:after="0" w:line="240" w:lineRule="auto"/>
      </w:pPr>
      <w:r>
        <w:t xml:space="preserve">All case revisions must be completed by the case submission deadline. Revisions will only be accepted by the </w:t>
      </w:r>
      <w:r w:rsidRPr="0029283F">
        <w:t>presenting author</w:t>
      </w:r>
      <w:r>
        <w:t xml:space="preserve">. This includes changes to author names, author order, author affiliation, and the addition or deletion of authors. SCAI is not responsible for work that is not submitted by the case submission deadline. </w:t>
      </w:r>
    </w:p>
    <w:p w14:paraId="1A4355C1" w14:textId="242112C3" w:rsidR="007607E6" w:rsidRDefault="0066266E" w:rsidP="007607E6">
      <w:pPr>
        <w:pStyle w:val="ListParagraph"/>
        <w:numPr>
          <w:ilvl w:val="0"/>
          <w:numId w:val="9"/>
        </w:numPr>
        <w:spacing w:after="0" w:line="240" w:lineRule="auto"/>
      </w:pPr>
      <w:r>
        <w:t>Cases</w:t>
      </w:r>
      <w:r w:rsidR="007607E6" w:rsidRPr="00A733A5">
        <w:t xml:space="preserve"> may be withdrawn </w:t>
      </w:r>
      <w:r w:rsidR="007607E6">
        <w:t xml:space="preserve">by the </w:t>
      </w:r>
      <w:r>
        <w:t>case</w:t>
      </w:r>
      <w:r w:rsidR="007607E6" w:rsidRPr="009F586F">
        <w:t xml:space="preserve"> withdrawal deadline</w:t>
      </w:r>
      <w:r w:rsidR="007607E6" w:rsidRPr="00A733A5">
        <w:t>.</w:t>
      </w:r>
    </w:p>
    <w:p w14:paraId="243D96FF" w14:textId="6B3FCA93" w:rsidR="007607E6" w:rsidRDefault="007607E6" w:rsidP="007607E6">
      <w:pPr>
        <w:pStyle w:val="ListParagraph"/>
        <w:numPr>
          <w:ilvl w:val="0"/>
          <w:numId w:val="9"/>
        </w:numPr>
        <w:spacing w:after="0" w:line="240" w:lineRule="auto"/>
      </w:pPr>
      <w:r w:rsidRPr="00694440">
        <w:t>Requests to withdraw a</w:t>
      </w:r>
      <w:r w:rsidR="0066266E">
        <w:t xml:space="preserve"> case </w:t>
      </w:r>
      <w:r w:rsidRPr="00694440">
        <w:t xml:space="preserve">must be submitted in writing to </w:t>
      </w:r>
      <w:hyperlink r:id="rId13" w:history="1">
        <w:r w:rsidR="0066266E" w:rsidRPr="003F0D52">
          <w:rPr>
            <w:rStyle w:val="Hyperlink"/>
          </w:rPr>
          <w:t>cases@scai.org</w:t>
        </w:r>
      </w:hyperlink>
      <w:r>
        <w:t xml:space="preserve"> by the presenting author </w:t>
      </w:r>
      <w:r w:rsidRPr="00694440">
        <w:t>by</w:t>
      </w:r>
      <w:r>
        <w:t xml:space="preserve"> </w:t>
      </w:r>
      <w:r w:rsidRPr="00694440">
        <w:t xml:space="preserve">the </w:t>
      </w:r>
      <w:r w:rsidR="0066266E">
        <w:t>case</w:t>
      </w:r>
      <w:r w:rsidRPr="00694440">
        <w:t xml:space="preserve"> </w:t>
      </w:r>
      <w:r>
        <w:t>withdrawal</w:t>
      </w:r>
      <w:r w:rsidRPr="00694440">
        <w:t xml:space="preserve"> deadline</w:t>
      </w:r>
    </w:p>
    <w:p w14:paraId="69D66BDB" w14:textId="77777777" w:rsidR="007607E6" w:rsidRDefault="007607E6" w:rsidP="007607E6">
      <w:pPr>
        <w:spacing w:after="0" w:line="240" w:lineRule="auto"/>
      </w:pPr>
    </w:p>
    <w:sectPr w:rsidR="007607E6" w:rsidSect="00201CC8">
      <w:pgSz w:w="12240" w:h="16340"/>
      <w:pgMar w:top="1440" w:right="1080" w:bottom="1440" w:left="108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E90"/>
    <w:multiLevelType w:val="hybridMultilevel"/>
    <w:tmpl w:val="11F89342"/>
    <w:lvl w:ilvl="0" w:tplc="FFFFFFFF">
      <w:start w:val="1"/>
      <w:numFmt w:val="decimal"/>
      <w:lvlText w:val="%1."/>
      <w:lvlJc w:val="left"/>
      <w:pPr>
        <w:ind w:left="769" w:hanging="360"/>
      </w:pPr>
    </w:lvl>
    <w:lvl w:ilvl="1" w:tplc="B9B4ABF2">
      <w:start w:val="1"/>
      <w:numFmt w:val="lowerLetter"/>
      <w:lvlText w:val="%2."/>
      <w:lvlJc w:val="left"/>
      <w:pPr>
        <w:ind w:left="1489" w:hanging="360"/>
      </w:pPr>
      <w:rPr>
        <w:b w:val="0"/>
        <w:bCs w:val="0"/>
      </w:rPr>
    </w:lvl>
    <w:lvl w:ilvl="2" w:tplc="FFFFFFFF">
      <w:start w:val="1"/>
      <w:numFmt w:val="lowerRoman"/>
      <w:lvlText w:val="%3."/>
      <w:lvlJc w:val="right"/>
      <w:pPr>
        <w:ind w:left="2209" w:hanging="180"/>
      </w:pPr>
    </w:lvl>
    <w:lvl w:ilvl="3" w:tplc="FFFFFFFF" w:tentative="1">
      <w:start w:val="1"/>
      <w:numFmt w:val="decimal"/>
      <w:lvlText w:val="%4."/>
      <w:lvlJc w:val="left"/>
      <w:pPr>
        <w:ind w:left="2929" w:hanging="360"/>
      </w:pPr>
    </w:lvl>
    <w:lvl w:ilvl="4" w:tplc="FFFFFFFF" w:tentative="1">
      <w:start w:val="1"/>
      <w:numFmt w:val="lowerLetter"/>
      <w:lvlText w:val="%5."/>
      <w:lvlJc w:val="left"/>
      <w:pPr>
        <w:ind w:left="3649" w:hanging="360"/>
      </w:pPr>
    </w:lvl>
    <w:lvl w:ilvl="5" w:tplc="FFFFFFFF" w:tentative="1">
      <w:start w:val="1"/>
      <w:numFmt w:val="lowerRoman"/>
      <w:lvlText w:val="%6."/>
      <w:lvlJc w:val="right"/>
      <w:pPr>
        <w:ind w:left="4369" w:hanging="180"/>
      </w:pPr>
    </w:lvl>
    <w:lvl w:ilvl="6" w:tplc="FFFFFFFF" w:tentative="1">
      <w:start w:val="1"/>
      <w:numFmt w:val="decimal"/>
      <w:lvlText w:val="%7."/>
      <w:lvlJc w:val="left"/>
      <w:pPr>
        <w:ind w:left="5089" w:hanging="360"/>
      </w:pPr>
    </w:lvl>
    <w:lvl w:ilvl="7" w:tplc="FFFFFFFF" w:tentative="1">
      <w:start w:val="1"/>
      <w:numFmt w:val="lowerLetter"/>
      <w:lvlText w:val="%8."/>
      <w:lvlJc w:val="left"/>
      <w:pPr>
        <w:ind w:left="5809" w:hanging="360"/>
      </w:pPr>
    </w:lvl>
    <w:lvl w:ilvl="8" w:tplc="FFFFFFFF" w:tentative="1">
      <w:start w:val="1"/>
      <w:numFmt w:val="lowerRoman"/>
      <w:lvlText w:val="%9."/>
      <w:lvlJc w:val="right"/>
      <w:pPr>
        <w:ind w:left="6529" w:hanging="180"/>
      </w:pPr>
    </w:lvl>
  </w:abstractNum>
  <w:abstractNum w:abstractNumId="1" w15:restartNumberingAfterBreak="0">
    <w:nsid w:val="05C92EF9"/>
    <w:multiLevelType w:val="hybridMultilevel"/>
    <w:tmpl w:val="77B60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61500B"/>
    <w:multiLevelType w:val="hybridMultilevel"/>
    <w:tmpl w:val="8556C7A4"/>
    <w:lvl w:ilvl="0" w:tplc="0409000F">
      <w:start w:val="1"/>
      <w:numFmt w:val="decimal"/>
      <w:lvlText w:val="%1."/>
      <w:lvlJc w:val="left"/>
      <w:pPr>
        <w:ind w:left="769" w:hanging="360"/>
      </w:pPr>
    </w:lvl>
    <w:lvl w:ilvl="1" w:tplc="04090019">
      <w:start w:val="1"/>
      <w:numFmt w:val="lowerLetter"/>
      <w:lvlText w:val="%2."/>
      <w:lvlJc w:val="left"/>
      <w:pPr>
        <w:ind w:left="1489" w:hanging="360"/>
      </w:pPr>
    </w:lvl>
    <w:lvl w:ilvl="2" w:tplc="0409001B">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3" w15:restartNumberingAfterBreak="0">
    <w:nsid w:val="257D6958"/>
    <w:multiLevelType w:val="hybridMultilevel"/>
    <w:tmpl w:val="C0BA2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A70598"/>
    <w:multiLevelType w:val="hybridMultilevel"/>
    <w:tmpl w:val="C0BA229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F402938"/>
    <w:multiLevelType w:val="hybridMultilevel"/>
    <w:tmpl w:val="E3500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A24BAD"/>
    <w:multiLevelType w:val="hybridMultilevel"/>
    <w:tmpl w:val="E59E5D70"/>
    <w:lvl w:ilvl="0" w:tplc="FFFFFFFF">
      <w:start w:val="1"/>
      <w:numFmt w:val="decimal"/>
      <w:lvlText w:val="%1."/>
      <w:lvlJc w:val="left"/>
      <w:pPr>
        <w:ind w:left="769" w:hanging="360"/>
      </w:pPr>
    </w:lvl>
    <w:lvl w:ilvl="1" w:tplc="FFFFFFFF">
      <w:start w:val="1"/>
      <w:numFmt w:val="lowerLetter"/>
      <w:lvlText w:val="%2."/>
      <w:lvlJc w:val="left"/>
      <w:pPr>
        <w:ind w:left="1489" w:hanging="360"/>
      </w:pPr>
    </w:lvl>
    <w:lvl w:ilvl="2" w:tplc="FFFFFFFF">
      <w:start w:val="1"/>
      <w:numFmt w:val="lowerRoman"/>
      <w:lvlText w:val="%3."/>
      <w:lvlJc w:val="right"/>
      <w:pPr>
        <w:ind w:left="2209" w:hanging="180"/>
      </w:pPr>
    </w:lvl>
    <w:lvl w:ilvl="3" w:tplc="FFFFFFFF" w:tentative="1">
      <w:start w:val="1"/>
      <w:numFmt w:val="decimal"/>
      <w:lvlText w:val="%4."/>
      <w:lvlJc w:val="left"/>
      <w:pPr>
        <w:ind w:left="2929" w:hanging="360"/>
      </w:pPr>
    </w:lvl>
    <w:lvl w:ilvl="4" w:tplc="FFFFFFFF" w:tentative="1">
      <w:start w:val="1"/>
      <w:numFmt w:val="lowerLetter"/>
      <w:lvlText w:val="%5."/>
      <w:lvlJc w:val="left"/>
      <w:pPr>
        <w:ind w:left="3649" w:hanging="360"/>
      </w:pPr>
    </w:lvl>
    <w:lvl w:ilvl="5" w:tplc="FFFFFFFF" w:tentative="1">
      <w:start w:val="1"/>
      <w:numFmt w:val="lowerRoman"/>
      <w:lvlText w:val="%6."/>
      <w:lvlJc w:val="right"/>
      <w:pPr>
        <w:ind w:left="4369" w:hanging="180"/>
      </w:pPr>
    </w:lvl>
    <w:lvl w:ilvl="6" w:tplc="FFFFFFFF" w:tentative="1">
      <w:start w:val="1"/>
      <w:numFmt w:val="decimal"/>
      <w:lvlText w:val="%7."/>
      <w:lvlJc w:val="left"/>
      <w:pPr>
        <w:ind w:left="5089" w:hanging="360"/>
      </w:pPr>
    </w:lvl>
    <w:lvl w:ilvl="7" w:tplc="FFFFFFFF" w:tentative="1">
      <w:start w:val="1"/>
      <w:numFmt w:val="lowerLetter"/>
      <w:lvlText w:val="%8."/>
      <w:lvlJc w:val="left"/>
      <w:pPr>
        <w:ind w:left="5809" w:hanging="360"/>
      </w:pPr>
    </w:lvl>
    <w:lvl w:ilvl="8" w:tplc="FFFFFFFF" w:tentative="1">
      <w:start w:val="1"/>
      <w:numFmt w:val="lowerRoman"/>
      <w:lvlText w:val="%9."/>
      <w:lvlJc w:val="right"/>
      <w:pPr>
        <w:ind w:left="6529" w:hanging="180"/>
      </w:pPr>
    </w:lvl>
  </w:abstractNum>
  <w:abstractNum w:abstractNumId="7" w15:restartNumberingAfterBreak="0">
    <w:nsid w:val="46B41A78"/>
    <w:multiLevelType w:val="hybridMultilevel"/>
    <w:tmpl w:val="C0BA22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3036232"/>
    <w:multiLevelType w:val="hybridMultilevel"/>
    <w:tmpl w:val="15409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925538"/>
    <w:multiLevelType w:val="hybridMultilevel"/>
    <w:tmpl w:val="2B3ACB52"/>
    <w:lvl w:ilvl="0" w:tplc="CADCE162">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C26AF5"/>
    <w:multiLevelType w:val="hybridMultilevel"/>
    <w:tmpl w:val="8556C7A4"/>
    <w:lvl w:ilvl="0" w:tplc="FFFFFFFF">
      <w:start w:val="1"/>
      <w:numFmt w:val="decimal"/>
      <w:lvlText w:val="%1."/>
      <w:lvlJc w:val="left"/>
      <w:pPr>
        <w:ind w:left="769" w:hanging="360"/>
      </w:pPr>
    </w:lvl>
    <w:lvl w:ilvl="1" w:tplc="FFFFFFFF">
      <w:start w:val="1"/>
      <w:numFmt w:val="lowerLetter"/>
      <w:lvlText w:val="%2."/>
      <w:lvlJc w:val="left"/>
      <w:pPr>
        <w:ind w:left="1489" w:hanging="360"/>
      </w:pPr>
    </w:lvl>
    <w:lvl w:ilvl="2" w:tplc="FFFFFFFF">
      <w:start w:val="1"/>
      <w:numFmt w:val="lowerRoman"/>
      <w:lvlText w:val="%3."/>
      <w:lvlJc w:val="right"/>
      <w:pPr>
        <w:ind w:left="2209" w:hanging="180"/>
      </w:pPr>
    </w:lvl>
    <w:lvl w:ilvl="3" w:tplc="FFFFFFFF" w:tentative="1">
      <w:start w:val="1"/>
      <w:numFmt w:val="decimal"/>
      <w:lvlText w:val="%4."/>
      <w:lvlJc w:val="left"/>
      <w:pPr>
        <w:ind w:left="2929" w:hanging="360"/>
      </w:pPr>
    </w:lvl>
    <w:lvl w:ilvl="4" w:tplc="FFFFFFFF" w:tentative="1">
      <w:start w:val="1"/>
      <w:numFmt w:val="lowerLetter"/>
      <w:lvlText w:val="%5."/>
      <w:lvlJc w:val="left"/>
      <w:pPr>
        <w:ind w:left="3649" w:hanging="360"/>
      </w:pPr>
    </w:lvl>
    <w:lvl w:ilvl="5" w:tplc="FFFFFFFF" w:tentative="1">
      <w:start w:val="1"/>
      <w:numFmt w:val="lowerRoman"/>
      <w:lvlText w:val="%6."/>
      <w:lvlJc w:val="right"/>
      <w:pPr>
        <w:ind w:left="4369" w:hanging="180"/>
      </w:pPr>
    </w:lvl>
    <w:lvl w:ilvl="6" w:tplc="FFFFFFFF" w:tentative="1">
      <w:start w:val="1"/>
      <w:numFmt w:val="decimal"/>
      <w:lvlText w:val="%7."/>
      <w:lvlJc w:val="left"/>
      <w:pPr>
        <w:ind w:left="5089" w:hanging="360"/>
      </w:pPr>
    </w:lvl>
    <w:lvl w:ilvl="7" w:tplc="FFFFFFFF" w:tentative="1">
      <w:start w:val="1"/>
      <w:numFmt w:val="lowerLetter"/>
      <w:lvlText w:val="%8."/>
      <w:lvlJc w:val="left"/>
      <w:pPr>
        <w:ind w:left="5809" w:hanging="360"/>
      </w:pPr>
    </w:lvl>
    <w:lvl w:ilvl="8" w:tplc="FFFFFFFF" w:tentative="1">
      <w:start w:val="1"/>
      <w:numFmt w:val="lowerRoman"/>
      <w:lvlText w:val="%9."/>
      <w:lvlJc w:val="right"/>
      <w:pPr>
        <w:ind w:left="6529" w:hanging="180"/>
      </w:pPr>
    </w:lvl>
  </w:abstractNum>
  <w:num w:numId="1" w16cid:durableId="1368750628">
    <w:abstractNumId w:val="5"/>
  </w:num>
  <w:num w:numId="2" w16cid:durableId="1399862035">
    <w:abstractNumId w:val="9"/>
  </w:num>
  <w:num w:numId="3" w16cid:durableId="1669942182">
    <w:abstractNumId w:val="8"/>
  </w:num>
  <w:num w:numId="4" w16cid:durableId="517432811">
    <w:abstractNumId w:val="1"/>
  </w:num>
  <w:num w:numId="5" w16cid:durableId="1963921399">
    <w:abstractNumId w:val="3"/>
  </w:num>
  <w:num w:numId="6" w16cid:durableId="1452898796">
    <w:abstractNumId w:val="4"/>
  </w:num>
  <w:num w:numId="7" w16cid:durableId="1772315161">
    <w:abstractNumId w:val="2"/>
  </w:num>
  <w:num w:numId="8" w16cid:durableId="1500929049">
    <w:abstractNumId w:val="0"/>
  </w:num>
  <w:num w:numId="9" w16cid:durableId="478422745">
    <w:abstractNumId w:val="7"/>
  </w:num>
  <w:num w:numId="10" w16cid:durableId="2009864085">
    <w:abstractNumId w:val="6"/>
  </w:num>
  <w:num w:numId="11" w16cid:durableId="952965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21E"/>
    <w:rsid w:val="00027AFD"/>
    <w:rsid w:val="00030714"/>
    <w:rsid w:val="0009068D"/>
    <w:rsid w:val="00201CC8"/>
    <w:rsid w:val="00284A21"/>
    <w:rsid w:val="003542BF"/>
    <w:rsid w:val="003578C5"/>
    <w:rsid w:val="003E4F6E"/>
    <w:rsid w:val="004B5EAE"/>
    <w:rsid w:val="005640CC"/>
    <w:rsid w:val="00634E59"/>
    <w:rsid w:val="006479CA"/>
    <w:rsid w:val="0066266E"/>
    <w:rsid w:val="00746CBD"/>
    <w:rsid w:val="007607E6"/>
    <w:rsid w:val="007E062B"/>
    <w:rsid w:val="00922FDD"/>
    <w:rsid w:val="009F1C3E"/>
    <w:rsid w:val="00A23B06"/>
    <w:rsid w:val="00A42236"/>
    <w:rsid w:val="00AF421E"/>
    <w:rsid w:val="00B1653B"/>
    <w:rsid w:val="00B654BD"/>
    <w:rsid w:val="00BE11D2"/>
    <w:rsid w:val="00C23CFF"/>
    <w:rsid w:val="00C84C49"/>
    <w:rsid w:val="00D01961"/>
    <w:rsid w:val="00DC4701"/>
    <w:rsid w:val="00DE610A"/>
    <w:rsid w:val="00F20D36"/>
    <w:rsid w:val="00F70135"/>
    <w:rsid w:val="00FA0EE7"/>
    <w:rsid w:val="00FB79DE"/>
    <w:rsid w:val="00FE575F"/>
    <w:rsid w:val="00FF035A"/>
    <w:rsid w:val="48F71B8E"/>
    <w:rsid w:val="6DA2A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C5ED8"/>
  <w15:chartTrackingRefBased/>
  <w15:docId w15:val="{0CB38D12-E01F-4752-830F-0158F93BB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421E"/>
    <w:pPr>
      <w:ind w:left="720"/>
      <w:contextualSpacing/>
    </w:pPr>
  </w:style>
  <w:style w:type="character" w:styleId="CommentReference">
    <w:name w:val="annotation reference"/>
    <w:basedOn w:val="DefaultParagraphFont"/>
    <w:uiPriority w:val="99"/>
    <w:semiHidden/>
    <w:unhideWhenUsed/>
    <w:rsid w:val="00AF421E"/>
    <w:rPr>
      <w:sz w:val="16"/>
      <w:szCs w:val="16"/>
    </w:rPr>
  </w:style>
  <w:style w:type="paragraph" w:styleId="CommentText">
    <w:name w:val="annotation text"/>
    <w:basedOn w:val="Normal"/>
    <w:link w:val="CommentTextChar"/>
    <w:uiPriority w:val="99"/>
    <w:semiHidden/>
    <w:unhideWhenUsed/>
    <w:rsid w:val="00AF421E"/>
    <w:pPr>
      <w:spacing w:line="240" w:lineRule="auto"/>
    </w:pPr>
    <w:rPr>
      <w:sz w:val="20"/>
      <w:szCs w:val="20"/>
    </w:rPr>
  </w:style>
  <w:style w:type="character" w:customStyle="1" w:styleId="CommentTextChar">
    <w:name w:val="Comment Text Char"/>
    <w:basedOn w:val="DefaultParagraphFont"/>
    <w:link w:val="CommentText"/>
    <w:uiPriority w:val="99"/>
    <w:semiHidden/>
    <w:rsid w:val="00AF421E"/>
    <w:rPr>
      <w:sz w:val="20"/>
      <w:szCs w:val="20"/>
    </w:rPr>
  </w:style>
  <w:style w:type="paragraph" w:styleId="CommentSubject">
    <w:name w:val="annotation subject"/>
    <w:basedOn w:val="CommentText"/>
    <w:next w:val="CommentText"/>
    <w:link w:val="CommentSubjectChar"/>
    <w:uiPriority w:val="99"/>
    <w:semiHidden/>
    <w:unhideWhenUsed/>
    <w:rsid w:val="00AF421E"/>
    <w:rPr>
      <w:b/>
      <w:bCs/>
    </w:rPr>
  </w:style>
  <w:style w:type="character" w:customStyle="1" w:styleId="CommentSubjectChar">
    <w:name w:val="Comment Subject Char"/>
    <w:basedOn w:val="CommentTextChar"/>
    <w:link w:val="CommentSubject"/>
    <w:uiPriority w:val="99"/>
    <w:semiHidden/>
    <w:rsid w:val="00AF421E"/>
    <w:rPr>
      <w:b/>
      <w:bCs/>
      <w:sz w:val="20"/>
      <w:szCs w:val="20"/>
    </w:rPr>
  </w:style>
  <w:style w:type="table" w:styleId="TableGrid">
    <w:name w:val="Table Grid"/>
    <w:basedOn w:val="TableNormal"/>
    <w:uiPriority w:val="39"/>
    <w:rsid w:val="00FF0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6CBD"/>
    <w:rPr>
      <w:color w:val="0563C1" w:themeColor="hyperlink"/>
      <w:u w:val="single"/>
    </w:rPr>
  </w:style>
  <w:style w:type="character" w:styleId="UnresolvedMention">
    <w:name w:val="Unresolved Mention"/>
    <w:basedOn w:val="DefaultParagraphFont"/>
    <w:uiPriority w:val="99"/>
    <w:semiHidden/>
    <w:unhideWhenUsed/>
    <w:rsid w:val="00662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ases@scai.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wma.net/policies-post/wma-declaration-of-helsinki-ethical-principles-for-medical-research-involving-human-subjec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ience.org/doi/10.1126/science.11642765"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icmje.org/recommendations/browse/roles-and-responsibilities/defining-the-role-of-authors-and-contributors.html"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d8fc7b6-a46b-44db-88a0-95470b7d925b">
      <Terms xmlns="http://schemas.microsoft.com/office/infopath/2007/PartnerControls"/>
    </lcf76f155ced4ddcb4097134ff3c332f>
    <TaxCatchAll xmlns="489e9bcd-fd4d-4b97-a05a-accb63884c74" xsi:nil="true"/>
    <Kaysha xmlns="cd8fc7b6-a46b-44db-88a0-95470b7d925b">false</Kaysha>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C7B1899E4AA44BB6175E2A0E8EF214" ma:contentTypeVersion="24" ma:contentTypeDescription="Create a new document." ma:contentTypeScope="" ma:versionID="dd4c44a05bbf48f504461bebaf415c75">
  <xsd:schema xmlns:xsd="http://www.w3.org/2001/XMLSchema" xmlns:xs="http://www.w3.org/2001/XMLSchema" xmlns:p="http://schemas.microsoft.com/office/2006/metadata/properties" xmlns:ns1="http://schemas.microsoft.com/sharepoint/v3" xmlns:ns2="489e9bcd-fd4d-4b97-a05a-accb63884c74" xmlns:ns3="cd8fc7b6-a46b-44db-88a0-95470b7d925b" targetNamespace="http://schemas.microsoft.com/office/2006/metadata/properties" ma:root="true" ma:fieldsID="550ab75ca525f8cfeb68db5e6d166874" ns1:_="" ns2:_="" ns3:_="">
    <xsd:import namespace="http://schemas.microsoft.com/sharepoint/v3"/>
    <xsd:import namespace="489e9bcd-fd4d-4b97-a05a-accb63884c74"/>
    <xsd:import namespace="cd8fc7b6-a46b-44db-88a0-95470b7d925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Kaysha"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9e9bcd-fd4d-4b97-a05a-accb63884c7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7" nillable="true" ma:displayName="Taxonomy Catch All Column" ma:hidden="true" ma:list="{7a524b7f-6de6-41e6-9f6c-43f160ad66d3}" ma:internalName="TaxCatchAll" ma:showField="CatchAllData" ma:web="489e9bcd-fd4d-4b97-a05a-accb63884c7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8fc7b6-a46b-44db-88a0-95470b7d925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586774d1-9a99-4abc-a9c4-f397d3eff48d" ma:termSetId="09814cd3-568e-fe90-9814-8d621ff8fb84" ma:anchorId="fba54fb3-c3e1-fe81-a776-ca4b69148c4d" ma:open="true" ma:isKeyword="false">
      <xsd:complexType>
        <xsd:sequence>
          <xsd:element ref="pc:Terms" minOccurs="0" maxOccurs="1"/>
        </xsd:sequence>
      </xsd:complexType>
    </xsd:element>
    <xsd:element name="Kaysha" ma:index="28" nillable="true" ma:displayName="Kaysha" ma:default="0" ma:format="Dropdown" ma:internalName="Kaysha">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5E6BBA-90FD-4FE7-8A2E-53E0EA324E0F}">
  <ds:schemaRefs>
    <ds:schemaRef ds:uri="http://schemas.microsoft.com/sharepoint/v3/contenttype/forms"/>
  </ds:schemaRefs>
</ds:datastoreItem>
</file>

<file path=customXml/itemProps2.xml><?xml version="1.0" encoding="utf-8"?>
<ds:datastoreItem xmlns:ds="http://schemas.openxmlformats.org/officeDocument/2006/customXml" ds:itemID="{E5440AB6-70F4-4F12-BB13-E3D064DC4B75}">
  <ds:schemaRefs>
    <ds:schemaRef ds:uri="http://schemas.microsoft.com/office/2006/metadata/properties"/>
    <ds:schemaRef ds:uri="http://schemas.microsoft.com/office/infopath/2007/PartnerControls"/>
    <ds:schemaRef ds:uri="http://schemas.microsoft.com/sharepoint/v3"/>
    <ds:schemaRef ds:uri="cd8fc7b6-a46b-44db-88a0-95470b7d925b"/>
    <ds:schemaRef ds:uri="489e9bcd-fd4d-4b97-a05a-accb63884c74"/>
  </ds:schemaRefs>
</ds:datastoreItem>
</file>

<file path=customXml/itemProps3.xml><?xml version="1.0" encoding="utf-8"?>
<ds:datastoreItem xmlns:ds="http://schemas.openxmlformats.org/officeDocument/2006/customXml" ds:itemID="{69DCF4E2-CBBD-4492-A52F-3E5D9EBBBF06}"/>
</file>

<file path=docProps/app.xml><?xml version="1.0" encoding="utf-8"?>
<Properties xmlns="http://schemas.openxmlformats.org/officeDocument/2006/extended-properties" xmlns:vt="http://schemas.openxmlformats.org/officeDocument/2006/docPropsVTypes">
  <Template>Normal</Template>
  <TotalTime>4</TotalTime>
  <Pages>2</Pages>
  <Words>531</Words>
  <Characters>3245</Characters>
  <Application>Microsoft Office Word</Application>
  <DocSecurity>0</DocSecurity>
  <Lines>55</Lines>
  <Paragraphs>19</Paragraphs>
  <ScaleCrop>false</ScaleCrop>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Pham</dc:creator>
  <cp:keywords/>
  <dc:description/>
  <cp:lastModifiedBy>Rachel Pham</cp:lastModifiedBy>
  <cp:revision>6</cp:revision>
  <dcterms:created xsi:type="dcterms:W3CDTF">2025-11-13T19:37:00Z</dcterms:created>
  <dcterms:modified xsi:type="dcterms:W3CDTF">2025-11-13T19:42:00Z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0x010100DAC7B1899E4AA44BB6175E2A0E8EF214</vt:lpwstr>
  </property>
  <property fmtid="{D5CDD505-2E9C-101B-9397-08002B2CF9AE}" pid="3" name="MediaServiceImageTags">
    <vt:lpwstr/>
  </property>
</Properties>
</file>